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distribute"/>
        <w:rPr>
          <w:rFonts w:hint="eastAsia" w:eastAsia="方正小标宋简体"/>
          <w:color w:val="FF0000"/>
          <w:w w:val="80"/>
          <w:sz w:val="90"/>
        </w:rPr>
      </w:pPr>
      <w:r>
        <w:rPr>
          <w:rFonts w:hint="eastAsia" w:eastAsia="方正小标宋简体"/>
          <w:color w:val="FF0000"/>
          <w:w w:val="80"/>
          <w:sz w:val="90"/>
        </w:rPr>
        <w:t>河南省教育厅</w:t>
      </w:r>
    </w:p>
    <w:p>
      <w:pPr>
        <w:jc w:val="center"/>
        <w:rPr>
          <w:rFonts w:hint="eastAsia" w:ascii="宋体" w:hAnsi="宋体" w:eastAsia="宋体" w:cs="宋体"/>
          <w:color w:val="000000" w:themeColor="text1"/>
          <w:w w:val="80"/>
          <w:sz w:val="28"/>
          <w:szCs w:val="28"/>
          <w:lang w:val="en-US" w:eastAsia="zh-CN"/>
          <w14:textFill>
            <w14:solidFill>
              <w14:schemeClr w14:val="tx1"/>
            </w14:solidFill>
          </w14:textFill>
        </w:rPr>
      </w:pPr>
      <w:r>
        <w:rPr>
          <w:rFonts w:hint="eastAsia" w:ascii="宋体" w:hAnsi="宋体" w:eastAsia="宋体" w:cs="宋体"/>
          <w:color w:val="000000" w:themeColor="text1"/>
          <w:w w:val="80"/>
          <w:sz w:val="28"/>
          <w:szCs w:val="28"/>
          <w:lang w:eastAsia="zh-CN"/>
          <w14:textFill>
            <w14:solidFill>
              <w14:schemeClr w14:val="tx1"/>
            </w14:solidFill>
          </w14:textFill>
        </w:rPr>
        <w:t>教社科【</w:t>
      </w:r>
      <w:r>
        <w:rPr>
          <w:rFonts w:hint="eastAsia" w:ascii="宋体" w:hAnsi="宋体" w:eastAsia="宋体" w:cs="宋体"/>
          <w:color w:val="000000" w:themeColor="text1"/>
          <w:w w:val="80"/>
          <w:sz w:val="28"/>
          <w:szCs w:val="28"/>
          <w:lang w:val="en-US" w:eastAsia="zh-CN"/>
          <w14:textFill>
            <w14:solidFill>
              <w14:schemeClr w14:val="tx1"/>
            </w14:solidFill>
          </w14:textFill>
        </w:rPr>
        <w:t>2016】106号</w:t>
      </w:r>
    </w:p>
    <w:p>
      <w:pPr>
        <w:jc w:val="distribute"/>
        <w:rPr>
          <w:rFonts w:hint="eastAsia" w:ascii="宋体" w:hAnsi="宋体" w:eastAsia="宋体" w:cs="宋体"/>
          <w:color w:val="000000" w:themeColor="text1"/>
          <w:w w:val="80"/>
          <w:sz w:val="24"/>
          <w:szCs w:val="24"/>
          <w:lang w:val="en-US" w:eastAsia="zh-CN"/>
          <w14:textFill>
            <w14:solidFill>
              <w14:schemeClr w14:val="tx1"/>
            </w14:solidFill>
          </w14:textFill>
        </w:rPr>
      </w:pPr>
      <w:r>
        <w:rPr>
          <w:sz w:val="90"/>
        </w:rPr>
        <mc:AlternateContent>
          <mc:Choice Requires="wps">
            <w:drawing>
              <wp:anchor distT="0" distB="0" distL="114300" distR="114300" simplePos="0" relativeHeight="251658240" behindDoc="0" locked="0" layoutInCell="1" allowOverlap="1">
                <wp:simplePos x="0" y="0"/>
                <wp:positionH relativeFrom="column">
                  <wp:posOffset>-20320</wp:posOffset>
                </wp:positionH>
                <wp:positionV relativeFrom="paragraph">
                  <wp:posOffset>41275</wp:posOffset>
                </wp:positionV>
                <wp:extent cx="5581650" cy="0"/>
                <wp:effectExtent l="0" t="0" r="0" b="0"/>
                <wp:wrapNone/>
                <wp:docPr id="1" name="直接连接符 1"/>
                <wp:cNvGraphicFramePr/>
                <a:graphic xmlns:a="http://schemas.openxmlformats.org/drawingml/2006/main">
                  <a:graphicData uri="http://schemas.microsoft.com/office/word/2010/wordprocessingShape">
                    <wps:wsp>
                      <wps:cNvCnPr/>
                      <wps:spPr>
                        <a:xfrm>
                          <a:off x="1113155" y="1820545"/>
                          <a:ext cx="558165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_x0000_s1026" o:spid="_x0000_s1026" o:spt="20" style="position:absolute;left:0pt;margin-left:-1.6pt;margin-top:3.25pt;height:0pt;width:439.5pt;z-index:251658240;mso-width-relative:page;mso-height-relative:page;" filled="f" stroked="t" coordsize="21600,21600" o:gfxdata="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Q4idUAAAAGAQAADwAAAAAAAAAB&#10;ACAAAAAiAAAAZHJzL2Rvd25yZXYueG1sUEsBAhQAFAAAAAgAh07iQChL52baAQAAcAMAAA4AAAAA&#10;AAAAAQAgAAAAJAEAAGRycy9lMm9Eb2MueG1sUEsFBgAAAAAGAAYAWQEAAHAFAAAAAA==&#10;">
                <v:fill on="f" focussize="0,0"/>
                <v:stroke weight="1pt" color="#ED7D31 [3205]" miterlimit="8" joinstyle="miter"/>
                <v:imagedata o:title=""/>
                <o:lock v:ext="edit" aspectratio="f"/>
              </v:line>
            </w:pict>
          </mc:Fallback>
        </mc:AlternateContent>
      </w:r>
    </w:p>
    <w:p>
      <w:pPr>
        <w:jc w:val="center"/>
        <w:rPr>
          <w:b/>
          <w:bCs/>
          <w:sz w:val="44"/>
          <w:szCs w:val="44"/>
        </w:rPr>
      </w:pPr>
      <w:r>
        <w:rPr>
          <w:b/>
          <w:bCs/>
          <w:sz w:val="44"/>
          <w:szCs w:val="44"/>
          <w:lang w:val="en-US" w:eastAsia="zh-CN"/>
        </w:rPr>
        <w:t>河南省教育厅</w:t>
      </w:r>
    </w:p>
    <w:p>
      <w:pPr>
        <w:jc w:val="center"/>
        <w:rPr>
          <w:b/>
          <w:bCs/>
          <w:sz w:val="44"/>
          <w:szCs w:val="44"/>
        </w:rPr>
      </w:pPr>
      <w:bookmarkStart w:id="0" w:name="_GoBack"/>
      <w:r>
        <w:rPr>
          <w:b/>
          <w:bCs/>
          <w:sz w:val="44"/>
          <w:szCs w:val="44"/>
          <w:lang w:val="en-US" w:eastAsia="zh-CN"/>
        </w:rPr>
        <w:t>关于2017年度人文社会科学研究一般项目申报工作的通知</w:t>
      </w:r>
    </w:p>
    <w:bookmarkEnd w:id="0"/>
    <w:p>
      <w:pPr/>
      <w:r>
        <w:rPr>
          <w:lang w:val="en-US" w:eastAsia="zh-CN"/>
        </w:rPr>
        <w:t>各高等学校：</w:t>
      </w:r>
    </w:p>
    <w:p>
      <w:pPr/>
      <w:r>
        <w:rPr>
          <w:lang w:val="en-US" w:eastAsia="zh-CN"/>
        </w:rPr>
        <w:t>　　现将2017年度河南省教育厅人文社会科学研究一般项目申报工作的有关事宜通知如下：</w:t>
      </w:r>
    </w:p>
    <w:p>
      <w:pPr/>
      <w:r>
        <w:rPr>
          <w:lang w:val="en-US" w:eastAsia="zh-CN"/>
        </w:rPr>
        <w:t>　　一、项目类别</w:t>
      </w:r>
    </w:p>
    <w:p>
      <w:pPr/>
      <w:r>
        <w:rPr>
          <w:lang w:val="en-US" w:eastAsia="zh-CN"/>
        </w:rPr>
        <w:t>　　2017年度人文社会科学研究一般项目包括</w:t>
      </w:r>
      <w:r>
        <w:rPr>
          <w:b/>
          <w:bCs/>
          <w:color w:val="FF0000"/>
          <w:lang w:val="en-US" w:eastAsia="zh-CN"/>
        </w:rPr>
        <w:t>重点项目、规划项目、青年项目、自筹经费项目</w:t>
      </w:r>
      <w:r>
        <w:rPr>
          <w:lang w:val="en-US" w:eastAsia="zh-CN"/>
        </w:rPr>
        <w:t>。</w:t>
      </w:r>
    </w:p>
    <w:p>
      <w:pPr/>
      <w:r>
        <w:rPr>
          <w:lang w:val="en-US" w:eastAsia="zh-CN"/>
        </w:rPr>
        <w:t>　　重点项目从申报的规划项目中择优产生,项目设计应以解决经济建设与社会发展过程中具有前瞻性、战略性、全局性的理论和实际问题，以及人文社会科学基础学科领域重大问题为主要研究内容。</w:t>
      </w:r>
    </w:p>
    <w:p>
      <w:pPr/>
      <w:r>
        <w:rPr>
          <w:lang w:val="en-US" w:eastAsia="zh-CN"/>
        </w:rPr>
        <w:t>　　</w:t>
      </w:r>
      <w:r>
        <w:rPr>
          <w:color w:val="FF0000"/>
          <w:lang w:val="en-US" w:eastAsia="zh-CN"/>
        </w:rPr>
        <w:t>自筹经费项目</w:t>
      </w:r>
      <w:r>
        <w:rPr>
          <w:lang w:val="en-US" w:eastAsia="zh-CN"/>
        </w:rPr>
        <w:t>。由学校资助或申请者从校外有关部门、企事业单位自筹经费，且自筹经费不低于5000元。申请时须出具学校同意资助的证明或校外委托研究单位经费到账凭证。</w:t>
      </w:r>
    </w:p>
    <w:p>
      <w:pPr/>
      <w:r>
        <w:rPr>
          <w:lang w:val="en-US" w:eastAsia="zh-CN"/>
        </w:rPr>
        <w:t>　　二、申报资格</w:t>
      </w:r>
    </w:p>
    <w:p>
      <w:pPr/>
      <w:r>
        <w:rPr>
          <w:lang w:val="en-US" w:eastAsia="zh-CN"/>
        </w:rPr>
        <w:t>　　1、各类项目的申请者必须具有良好的思想政治素质，具有独立开展和组织科研工作的能力和精力，有比较充分的前期准备和一定数量的相关研究成果，并能作为项目的实际主持者担负实质性研究工作；应用性研究课题的申报，提倡并鼓励有社会实践经验的人员参加课题研究。</w:t>
      </w:r>
    </w:p>
    <w:p>
      <w:pPr>
        <w:rPr>
          <w:color w:val="FF0000"/>
        </w:rPr>
      </w:pPr>
      <w:r>
        <w:rPr>
          <w:lang w:val="en-US" w:eastAsia="zh-CN"/>
        </w:rPr>
        <w:t>　　2、</w:t>
      </w:r>
      <w:r>
        <w:rPr>
          <w:color w:val="FF0000"/>
          <w:lang w:val="en-US" w:eastAsia="zh-CN"/>
        </w:rPr>
        <w:t>规划项目限高等学校具有中级以上(含中级)职称或具有博士以上学位的教研人员申报。青年项目的申请者及课题组成员年龄应在40岁以下。</w:t>
      </w:r>
    </w:p>
    <w:p>
      <w:pPr/>
      <w:r>
        <w:rPr>
          <w:lang w:val="en-US" w:eastAsia="zh-CN"/>
        </w:rPr>
        <w:t>　　3、</w:t>
      </w:r>
      <w:r>
        <w:rPr>
          <w:color w:val="FF0000"/>
          <w:lang w:val="en-US" w:eastAsia="zh-CN"/>
        </w:rPr>
        <w:t>已承担省级以上(含省级)课题或承担省教育厅计划内科研课题的主持人，课题没有结项或不合格者，不得申报新项目</w:t>
      </w:r>
      <w:r>
        <w:rPr>
          <w:lang w:val="en-US" w:eastAsia="zh-CN"/>
        </w:rPr>
        <w:t>。</w:t>
      </w:r>
    </w:p>
    <w:p>
      <w:pPr/>
      <w:r>
        <w:rPr>
          <w:lang w:val="en-US" w:eastAsia="zh-CN"/>
        </w:rPr>
        <w:t>　　4、</w:t>
      </w:r>
      <w:r>
        <w:rPr>
          <w:color w:val="FF0000"/>
          <w:lang w:val="en-US" w:eastAsia="zh-CN"/>
        </w:rPr>
        <w:t>每个申请者原则上只能申报1个研究项目，作为主要参加者原则上不得超过2个项目。</w:t>
      </w:r>
    </w:p>
    <w:p>
      <w:pPr/>
      <w:r>
        <w:rPr>
          <w:lang w:val="en-US" w:eastAsia="zh-CN"/>
        </w:rPr>
        <w:t>　　5、离退休教师、学校非在编人员、在校学生可以作为研究人员参加课题组，但不得作为主持人申报。</w:t>
      </w:r>
    </w:p>
    <w:p>
      <w:pPr>
        <w:rPr>
          <w:color w:val="FF0000"/>
        </w:rPr>
      </w:pPr>
      <w:r>
        <w:rPr>
          <w:lang w:val="en-US" w:eastAsia="zh-CN"/>
        </w:rPr>
        <w:t>　　6、</w:t>
      </w:r>
      <w:r>
        <w:rPr>
          <w:color w:val="FF0000"/>
          <w:lang w:val="en-US" w:eastAsia="zh-CN"/>
        </w:rPr>
        <w:t>课题组成员不得超过5人，并由申请人担任组长。</w:t>
      </w:r>
    </w:p>
    <w:p>
      <w:pPr/>
      <w:r>
        <w:rPr>
          <w:lang w:val="en-US" w:eastAsia="zh-CN"/>
        </w:rPr>
        <w:t>　　7、</w:t>
      </w:r>
      <w:r>
        <w:rPr>
          <w:color w:val="FF0000"/>
          <w:lang w:val="en-US" w:eastAsia="zh-CN"/>
        </w:rPr>
        <w:t>课题立项后，所在学校应给予配套资助</w:t>
      </w:r>
      <w:r>
        <w:rPr>
          <w:lang w:val="en-US" w:eastAsia="zh-CN"/>
        </w:rPr>
        <w:t>。</w:t>
      </w:r>
    </w:p>
    <w:p>
      <w:pPr/>
      <w:r>
        <w:rPr>
          <w:lang w:val="en-US" w:eastAsia="zh-CN"/>
        </w:rPr>
        <w:t>　　三、课题指南与学科范围</w:t>
      </w:r>
    </w:p>
    <w:p>
      <w:pPr/>
      <w:r>
        <w:rPr>
          <w:lang w:val="en-US" w:eastAsia="zh-CN"/>
        </w:rPr>
        <w:t>　　申报课题要强化问题意识，把个人志趣禀赋与国家需求统筹兼顾。</w:t>
      </w:r>
      <w:r>
        <w:rPr>
          <w:color w:val="FF0000"/>
          <w:u w:val="single"/>
          <w:lang w:val="en-US" w:eastAsia="zh-CN"/>
        </w:rPr>
        <w:t>基础研究</w:t>
      </w:r>
      <w:r>
        <w:rPr>
          <w:color w:val="FF0000"/>
          <w:lang w:val="en-US" w:eastAsia="zh-CN"/>
        </w:rPr>
        <w:t>力求具有原创性和开拓性</w:t>
      </w:r>
      <w:r>
        <w:rPr>
          <w:lang w:val="en-US" w:eastAsia="zh-CN"/>
        </w:rPr>
        <w:t>。</w:t>
      </w:r>
      <w:r>
        <w:rPr>
          <w:color w:val="FF0000"/>
          <w:u w:val="single"/>
          <w:lang w:val="en-US" w:eastAsia="zh-CN"/>
        </w:rPr>
        <w:t>应用研究</w:t>
      </w:r>
      <w:r>
        <w:rPr>
          <w:color w:val="FF0000"/>
          <w:lang w:val="en-US" w:eastAsia="zh-CN"/>
        </w:rPr>
        <w:t>应以当前我国、我省经济社会发展中全局性、战略性、前瞻性的重大理论与实践问题为主攻方向，紧紧围绕省委政府重大决策、经济社会发展重大需求、人民群众重大关切进行选题，突出针对性、战略性，同时要重视学术（学理）支撑</w:t>
      </w:r>
      <w:r>
        <w:rPr>
          <w:lang w:val="en-US" w:eastAsia="zh-CN"/>
        </w:rPr>
        <w:t>。课题论证要体现理论创新、方法创新，鼓励深入的基础理论研究、特色文化研究、有针对性的应用对策研究和跨学科的交叉综合研究。</w:t>
      </w:r>
    </w:p>
    <w:p>
      <w:pPr/>
      <w:r>
        <w:rPr>
          <w:lang w:val="en-US" w:eastAsia="zh-CN"/>
        </w:rPr>
        <w:t>　　根据国家质量技术监督局2009年公布的《学科分类与代码》和高校的实际情况，本年度人文社会科学研究项目申报范围包括以下25个学科：（1）马克思主义理论；(2)哲学；（3）逻辑学；（4）宗教学；（5）语言学；（6）中国文学；（7）外国文学；（8）艺术学；（9）历史学；（10）考古学；（11）经济学；（12）管理学；（13）政治学；（14）法学；（15）社会学；（16）民族学与文化学；（17）新闻学与传播学；（18）图书情报文献学；（19）教育学；（20）心理学；（21）体育学；（22）统计学；（23）港澳台问题研究；（24）国际问题研究；（25）交叉学科/综合研究。申报跨学科综合研究的课题，要注明主要涉及的学科，自行选择申报学科方向。</w:t>
      </w:r>
    </w:p>
    <w:p>
      <w:pPr/>
      <w:r>
        <w:rPr>
          <w:lang w:val="en-US" w:eastAsia="zh-CN"/>
        </w:rPr>
        <w:t>　　四、申报要求</w:t>
      </w:r>
    </w:p>
    <w:p>
      <w:pPr/>
      <w:r>
        <w:rPr>
          <w:lang w:val="en-US" w:eastAsia="zh-CN"/>
        </w:rPr>
        <w:t>　　（一）各高校科研管理部门负责项目申报的组织工作，并负责对申请者的资格和申报的课题进行初审。要认真审核申请书的内容，特别是严格审核申报资格、选题和论证的科学性及可行性、课题组的研究实力和必备条件等，并签署明确意见和信誉担保意见，确保申报质量。</w:t>
      </w:r>
    </w:p>
    <w:p>
      <w:pPr/>
      <w:r>
        <w:rPr>
          <w:lang w:val="en-US" w:eastAsia="zh-CN"/>
        </w:rPr>
        <w:t>　　（二）申报纸质材料由各高校科研管理部门集中报送，不受理个人申报。其中，郑州大学、河南大学申报项目总数各不超过120项，其它大学及文科类、师范类本科院校不超过100项，其它本科院校不超过60项，</w:t>
      </w:r>
      <w:r>
        <w:rPr>
          <w:color w:val="FF0000"/>
          <w:lang w:val="en-US" w:eastAsia="zh-CN"/>
        </w:rPr>
        <w:t>专科学校不超过30项。</w:t>
      </w:r>
    </w:p>
    <w:p>
      <w:pPr/>
      <w:r>
        <w:rPr>
          <w:lang w:val="en-US" w:eastAsia="zh-CN"/>
        </w:rPr>
        <w:t>　　五、申报流程</w:t>
      </w:r>
    </w:p>
    <w:p>
      <w:pPr/>
      <w:r>
        <w:rPr>
          <w:lang w:val="en-US" w:eastAsia="zh-CN"/>
        </w:rPr>
        <w:t>　　此次申报工作使用“河南省人文社会科学研究项目管理系统”完成电子数据的采集和报送。</w:t>
      </w:r>
      <w:r>
        <w:rPr>
          <w:color w:val="FF0000"/>
          <w:lang w:val="en-US" w:eastAsia="zh-CN"/>
        </w:rPr>
        <w:t>系统将于2016年3月15日开通，届时可以通过</w:t>
      </w:r>
      <w:r>
        <w:rPr>
          <w:color w:val="FF0000"/>
          <w:lang w:val="en-US" w:eastAsia="zh-CN"/>
        </w:rPr>
        <w:fldChar w:fldCharType="begin"/>
      </w:r>
      <w:r>
        <w:rPr>
          <w:color w:val="FF0000"/>
          <w:lang w:val="en-US" w:eastAsia="zh-CN"/>
        </w:rPr>
        <w:instrText xml:space="preserve"> HYPERLINK "http://sk.haedu.gov.cn" </w:instrText>
      </w:r>
      <w:r>
        <w:rPr>
          <w:color w:val="FF0000"/>
          <w:lang w:val="en-US" w:eastAsia="zh-CN"/>
        </w:rPr>
        <w:fldChar w:fldCharType="separate"/>
      </w:r>
      <w:r>
        <w:rPr>
          <w:color w:val="FF0000"/>
        </w:rPr>
        <w:t>http://sk.haedu.gov.cn</w:t>
      </w:r>
      <w:r>
        <w:rPr>
          <w:color w:val="FF0000"/>
          <w:lang w:val="en-US" w:eastAsia="zh-CN"/>
        </w:rPr>
        <w:fldChar w:fldCharType="end"/>
      </w:r>
      <w:r>
        <w:rPr>
          <w:color w:val="FF0000"/>
          <w:lang w:val="en-US" w:eastAsia="zh-CN"/>
        </w:rPr>
        <w:t>访问系统，</w:t>
      </w:r>
      <w:r>
        <w:rPr>
          <w:lang w:val="en-US" w:eastAsia="zh-CN"/>
        </w:rPr>
        <w:t>其工作流程如下：</w:t>
      </w:r>
    </w:p>
    <w:p>
      <w:pPr/>
      <w:r>
        <w:rPr>
          <w:lang w:val="en-US" w:eastAsia="zh-CN"/>
        </w:rPr>
        <w:t>　　（一）已开通账号的高校科研管理部门，以原有账号、密码登录系统，未开通账号的高校科研管理部门，请于3月15日前登录申报系统，打印《河南省教育厅人文社会科学研究管理系统登记表》（见附件），并发送邮件至shekechu803@163.com，同时电话确认，以免延误用户名及密码的发放工作。</w:t>
      </w:r>
    </w:p>
    <w:p>
      <w:pPr/>
      <w:r>
        <w:rPr>
          <w:lang w:val="en-US" w:eastAsia="zh-CN"/>
        </w:rPr>
        <w:t>　　（二）</w:t>
      </w:r>
      <w:r>
        <w:rPr>
          <w:color w:val="FF0000"/>
          <w:lang w:val="en-US" w:eastAsia="zh-CN"/>
        </w:rPr>
        <w:t>申报人员在4月15日之前，自行登录系统，根据系统提示要求，认真注册个人信息，下载填写《河南省教育厅人文社会科学研究项目申请评审书》并在线提交，确认无误后打印纸质材料提交本校科研管理部门进行初审。</w:t>
      </w:r>
      <w:r>
        <w:rPr>
          <w:lang w:val="en-US" w:eastAsia="zh-CN"/>
        </w:rPr>
        <w:t>务必从申报系统中下载最新版申报书，以免系统不兼容，影响申报。</w:t>
      </w:r>
    </w:p>
    <w:p>
      <w:pPr>
        <w:rPr>
          <w:color w:val="FF0000"/>
        </w:rPr>
      </w:pPr>
      <w:r>
        <w:rPr>
          <w:lang w:val="en-US" w:eastAsia="zh-CN"/>
        </w:rPr>
        <w:t>　　（三）</w:t>
      </w:r>
      <w:r>
        <w:rPr>
          <w:color w:val="FF0000"/>
          <w:lang w:val="en-US" w:eastAsia="zh-CN"/>
        </w:rPr>
        <w:t>申报单位须在4月22日之前对本单位所申报的材料进行在线审核确认，并于2016年4月25日至4月27日报送以下纸质材料：</w:t>
      </w:r>
    </w:p>
    <w:p>
      <w:pPr/>
      <w:r>
        <w:rPr>
          <w:lang w:val="en-US" w:eastAsia="zh-CN"/>
        </w:rPr>
        <w:t>　　（1）</w:t>
      </w:r>
      <w:r>
        <w:rPr>
          <w:color w:val="FF0000"/>
          <w:u w:val="single"/>
          <w:lang w:val="en-US" w:eastAsia="zh-CN"/>
        </w:rPr>
        <w:t>项目申请书一份,</w:t>
      </w:r>
      <w:r>
        <w:rPr>
          <w:lang w:val="en-US" w:eastAsia="zh-CN"/>
        </w:rPr>
        <w:t>并在纸质材料的“学校科研管理部门意见”栏填写“同意申报”并盖章，按学科分类并与一览表顺序一致。（2）在线打印</w:t>
      </w:r>
      <w:r>
        <w:rPr>
          <w:color w:val="FF0000"/>
          <w:u w:val="single"/>
          <w:lang w:val="en-US" w:eastAsia="zh-CN"/>
        </w:rPr>
        <w:t>《2017年度河南省教育厅人文社会科学研究项目申报一览表》1份并加盖公章。</w:t>
      </w:r>
      <w:r>
        <w:rPr>
          <w:lang w:val="en-US" w:eastAsia="zh-CN"/>
        </w:rPr>
        <w:t>（3）新申请学校报送《河南省教育厅人文社会科学研究项目申请工作机构登记表》一份。</w:t>
      </w:r>
    </w:p>
    <w:p>
      <w:pPr/>
      <w:r>
        <w:rPr>
          <w:lang w:val="en-US" w:eastAsia="zh-CN"/>
        </w:rPr>
        <w:t>　　</w:t>
      </w:r>
      <w:r>
        <w:rPr>
          <w:color w:val="FF0000"/>
          <w:lang w:val="en-US" w:eastAsia="zh-CN"/>
        </w:rPr>
        <w:t>报送地址：金燕宾馆，郑州市郑东新区正光路与德厚街交叉口向北20米路西（煤建大厦旁）</w:t>
      </w:r>
      <w:r>
        <w:rPr>
          <w:lang w:val="en-US" w:eastAsia="zh-CN"/>
        </w:rPr>
        <w:t>。联系人：刘禹佳，杨维纳，联系电话：0371-69691082，0371-69691987。</w:t>
      </w:r>
    </w:p>
    <w:p>
      <w:pPr>
        <w:rPr>
          <w:rFonts w:hint="eastAsia"/>
        </w:rPr>
      </w:pPr>
    </w:p>
    <w:p>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Arial">
    <w:panose1 w:val="020B0604020202020204"/>
    <w:charset w:val="00"/>
    <w:family w:val="decorative"/>
    <w:pitch w:val="default"/>
    <w:sig w:usb0="E0002AFF" w:usb1="C0007843" w:usb2="00000009" w:usb3="00000000" w:csb0="400001FF" w:csb1="FFFF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Arial">
    <w:panose1 w:val="020B0604020202020204"/>
    <w:charset w:val="00"/>
    <w:family w:val="roman"/>
    <w:pitch w:val="default"/>
    <w:sig w:usb0="E0002AFF" w:usb1="C0007843" w:usb2="00000009" w:usb3="00000000" w:csb0="400001FF" w:csb1="FFFF0000"/>
  </w:font>
  <w:font w:name="楷体_GB2312">
    <w:altName w:val="楷体"/>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altName w:val="仿宋"/>
    <w:panose1 w:val="02010609030101010101"/>
    <w:charset w:val="86"/>
    <w:family w:val="roman"/>
    <w:pitch w:val="default"/>
    <w:sig w:usb0="00000000" w:usb1="00000000" w:usb2="00000010" w:usb3="00000000" w:csb0="00040000" w:csb1="00000000"/>
  </w:font>
  <w:font w:name="Arial">
    <w:panose1 w:val="020B0604020202020204"/>
    <w:charset w:val="00"/>
    <w:family w:val="modern"/>
    <w:pitch w:val="default"/>
    <w:sig w:usb0="E0002AFF" w:usb1="C0007843" w:usb2="00000009" w:usb3="00000000" w:csb0="400001FF" w:csb1="FFFF0000"/>
  </w:font>
  <w:font w:name="楷体_GB2312">
    <w:altName w:val="楷体"/>
    <w:panose1 w:val="02010609030101010101"/>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011CD"/>
    <w:rsid w:val="32F21B2B"/>
    <w:rsid w:val="399011CD"/>
    <w:rsid w:val="5DC65A05"/>
    <w:rsid w:val="642B0C0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Strong"/>
    <w:basedOn w:val="4"/>
    <w:qFormat/>
    <w:uiPriority w:val="0"/>
    <w:rPr>
      <w:b/>
    </w:rPr>
  </w:style>
  <w:style w:type="character" w:styleId="6">
    <w:name w:val="Hyperlink"/>
    <w:basedOn w:val="4"/>
    <w:qFormat/>
    <w:uiPriority w:val="0"/>
    <w:rPr>
      <w:color w:val="2D2D2D"/>
      <w:u w:val="none"/>
    </w:rPr>
  </w:style>
  <w:style w:type="character" w:customStyle="1" w:styleId="8">
    <w:name w:val="disabled"/>
    <w:basedOn w:val="4"/>
    <w:qFormat/>
    <w:uiPriority w:val="0"/>
    <w:rPr>
      <w:color w:val="929292"/>
      <w:bdr w:val="single" w:color="929292" w:sz="6" w:space="0"/>
    </w:rPr>
  </w:style>
  <w:style w:type="character" w:customStyle="1" w:styleId="9">
    <w:name w:val="bsharetext"/>
    <w:basedOn w:val="4"/>
    <w:qFormat/>
    <w:uiPriority w:val="0"/>
  </w:style>
  <w:style w:type="character" w:customStyle="1" w:styleId="10">
    <w:name w:val="current1"/>
    <w:basedOn w:val="4"/>
    <w:qFormat/>
    <w:uiPriority w:val="0"/>
    <w:rPr>
      <w:b/>
      <w:color w:val="FFFFFF"/>
      <w:bdr w:val="single" w:color="000080" w:sz="6" w:space="0"/>
      <w:shd w:val="clear" w:fill="2E6AB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2016-03-01T08:13:00Z</dcterms:created>
  <dc:creator>Administrator</dc:creator>
  <cp:lastModifiedBy>Administrator</cp:lastModifiedBy>
  <dcterms:modified xsi:type="dcterms:W3CDTF">2016-03-08T02:06:57Z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